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A8" w:rsidRPr="00DC75D6" w:rsidRDefault="004E19A8" w:rsidP="004E19A8">
      <w:pPr>
        <w:pStyle w:val="Formatvorlage1"/>
        <w:jc w:val="both"/>
        <w:rPr>
          <w:rFonts w:ascii="Arial" w:hAnsi="Arial" w:cs="Arial"/>
          <w:lang w:val="es-ES"/>
        </w:rPr>
      </w:pPr>
      <w:bookmarkStart w:id="0" w:name="_Toc501391680"/>
      <w:r w:rsidRPr="00DC75D6">
        <w:rPr>
          <w:rFonts w:ascii="Arial" w:hAnsi="Arial" w:cs="Arial"/>
          <w:lang w:val="es-ES"/>
        </w:rPr>
        <w:t>Wahlordnung</w:t>
      </w:r>
      <w:bookmarkEnd w:id="0"/>
    </w:p>
    <w:p w:rsidR="004E19A8" w:rsidRPr="00DC75D6" w:rsidRDefault="004E19A8" w:rsidP="004E19A8">
      <w:pPr>
        <w:jc w:val="both"/>
        <w:rPr>
          <w:rFonts w:eastAsia="Calibri" w:cs="Arial"/>
          <w:lang w:val="es-ES"/>
        </w:rPr>
      </w:pPr>
      <w:bookmarkStart w:id="1" w:name="_GoBack"/>
      <w:bookmarkEnd w:id="1"/>
    </w:p>
    <w:tbl>
      <w:tblPr>
        <w:tblStyle w:val="TableNormal"/>
        <w:tblW w:w="96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0"/>
        <w:gridCol w:w="4816"/>
      </w:tblGrid>
      <w:tr w:rsidR="004E19A8" w:rsidRPr="00DC75D6" w:rsidTr="00A01C77">
        <w:trPr>
          <w:trHeight w:val="11316"/>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tcMar>
              <w:top w:w="80" w:type="dxa"/>
              <w:left w:w="222" w:type="dxa"/>
              <w:bottom w:w="80" w:type="dxa"/>
              <w:right w:w="80" w:type="dxa"/>
            </w:tcMar>
          </w:tcPr>
          <w:p w:rsidR="004E19A8" w:rsidRPr="00DC75D6" w:rsidRDefault="004E19A8" w:rsidP="00A01C77">
            <w:pPr>
              <w:ind w:left="142" w:hanging="142"/>
              <w:jc w:val="both"/>
              <w:rPr>
                <w:rFonts w:eastAsia="Calibri" w:cs="Arial"/>
                <w:b/>
                <w:bCs/>
                <w:sz w:val="22"/>
                <w:szCs w:val="22"/>
              </w:rPr>
            </w:pPr>
            <w:r w:rsidRPr="00DC75D6">
              <w:rPr>
                <w:rFonts w:eastAsia="Calibri" w:cs="Arial"/>
                <w:b/>
                <w:bCs/>
                <w:sz w:val="22"/>
                <w:szCs w:val="22"/>
              </w:rPr>
              <w:t>§1 Leitung der Wahlen</w:t>
            </w:r>
          </w:p>
          <w:p w:rsidR="004E19A8" w:rsidRPr="00DC75D6" w:rsidRDefault="004E19A8" w:rsidP="00A01C77">
            <w:pPr>
              <w:ind w:left="142" w:hanging="142"/>
              <w:jc w:val="both"/>
              <w:rPr>
                <w:rFonts w:eastAsia="Calibri" w:cs="Arial"/>
                <w:sz w:val="22"/>
                <w:szCs w:val="22"/>
              </w:rPr>
            </w:pPr>
            <w:r w:rsidRPr="00DC75D6">
              <w:rPr>
                <w:rFonts w:eastAsia="Calibri" w:cs="Arial"/>
                <w:sz w:val="22"/>
                <w:szCs w:val="22"/>
              </w:rPr>
              <w:t>(1) Wahlvorgänge werden von einer Wahlkommission geleitet, die für den entsprechenden Wahlvorgang aus der Mitte des LSP gewählt wird.</w:t>
            </w:r>
          </w:p>
          <w:p w:rsidR="004E19A8" w:rsidRPr="00DC75D6" w:rsidRDefault="004E19A8" w:rsidP="00A01C77">
            <w:pPr>
              <w:ind w:left="142" w:hanging="142"/>
              <w:jc w:val="both"/>
              <w:rPr>
                <w:rFonts w:eastAsia="Calibri" w:cs="Arial"/>
                <w:sz w:val="22"/>
                <w:szCs w:val="22"/>
              </w:rPr>
            </w:pPr>
            <w:r w:rsidRPr="00DC75D6">
              <w:rPr>
                <w:rFonts w:eastAsia="Calibri" w:cs="Arial"/>
                <w:sz w:val="22"/>
                <w:szCs w:val="22"/>
              </w:rPr>
              <w:t>(2) Die Wahlen zu</w:t>
            </w:r>
            <w:r>
              <w:rPr>
                <w:rFonts w:eastAsia="Calibri" w:cs="Arial"/>
                <w:sz w:val="22"/>
                <w:szCs w:val="22"/>
              </w:rPr>
              <w:t>r Wahlkommission werden von den LSV-Mitgliedern</w:t>
            </w:r>
            <w:r w:rsidRPr="00DC75D6">
              <w:rPr>
                <w:rFonts w:eastAsia="Calibri" w:cs="Arial"/>
                <w:sz w:val="22"/>
                <w:szCs w:val="22"/>
              </w:rPr>
              <w:t xml:space="preserve"> geleitet.</w:t>
            </w:r>
          </w:p>
          <w:p w:rsidR="004E19A8" w:rsidRPr="00DC75D6" w:rsidRDefault="004E19A8" w:rsidP="00A01C77">
            <w:pPr>
              <w:ind w:left="142" w:hanging="142"/>
              <w:jc w:val="both"/>
              <w:rPr>
                <w:rFonts w:eastAsia="Calibri" w:cs="Arial"/>
                <w:sz w:val="22"/>
                <w:szCs w:val="22"/>
              </w:rPr>
            </w:pPr>
            <w:r w:rsidRPr="00DC75D6">
              <w:rPr>
                <w:rFonts w:eastAsia="Calibri" w:cs="Arial"/>
                <w:sz w:val="22"/>
                <w:szCs w:val="22"/>
              </w:rPr>
              <w:t>(3) Mitglieder der Wahlkommission dürfen weder selbst für das im Wahlvorgang, für den die Kommission gebildet wird, zu wählende Amt kandidieren noch bei ihrer Wahl mehr als ein Drittel Gegenstimmen bekommen.</w:t>
            </w:r>
          </w:p>
          <w:p w:rsidR="004E19A8" w:rsidRPr="00DC75D6" w:rsidRDefault="004E19A8" w:rsidP="00A01C77">
            <w:pPr>
              <w:ind w:left="142" w:hanging="142"/>
              <w:jc w:val="both"/>
              <w:rPr>
                <w:rFonts w:eastAsia="Calibri" w:cs="Arial"/>
                <w:sz w:val="22"/>
                <w:szCs w:val="22"/>
              </w:rPr>
            </w:pPr>
            <w:r w:rsidRPr="00DC75D6">
              <w:rPr>
                <w:rFonts w:eastAsia="Calibri" w:cs="Arial"/>
                <w:sz w:val="22"/>
                <w:szCs w:val="22"/>
              </w:rPr>
              <w:t>(4) Die Wahlkommission bestimmt aus ihrer Mitte eine Leiterin oder einen Leiter.</w:t>
            </w:r>
            <w:r w:rsidRPr="00DC75D6">
              <w:rPr>
                <w:rFonts w:eastAsia="Calibri" w:cs="Arial"/>
                <w:sz w:val="22"/>
                <w:szCs w:val="22"/>
              </w:rPr>
              <w:br/>
            </w:r>
          </w:p>
          <w:p w:rsidR="004E19A8" w:rsidRPr="00DC75D6" w:rsidRDefault="004E19A8" w:rsidP="00A01C77">
            <w:pPr>
              <w:ind w:left="142" w:hanging="142"/>
              <w:jc w:val="both"/>
              <w:rPr>
                <w:rFonts w:eastAsia="Calibri" w:cs="Arial"/>
                <w:b/>
                <w:bCs/>
                <w:sz w:val="22"/>
                <w:szCs w:val="22"/>
              </w:rPr>
            </w:pPr>
            <w:r w:rsidRPr="00DC75D6">
              <w:rPr>
                <w:rFonts w:eastAsia="Calibri" w:cs="Arial"/>
                <w:b/>
                <w:bCs/>
                <w:sz w:val="22"/>
                <w:szCs w:val="22"/>
              </w:rPr>
              <w:t>§2 Die Wahlen</w:t>
            </w:r>
          </w:p>
          <w:p w:rsidR="004E19A8" w:rsidRPr="00DC75D6" w:rsidRDefault="004E19A8" w:rsidP="00A01C77">
            <w:pPr>
              <w:ind w:left="142" w:hanging="142"/>
              <w:jc w:val="both"/>
              <w:rPr>
                <w:rFonts w:eastAsia="Calibri" w:cs="Arial"/>
                <w:sz w:val="22"/>
                <w:szCs w:val="22"/>
              </w:rPr>
            </w:pPr>
            <w:r w:rsidRPr="00DC75D6">
              <w:rPr>
                <w:rFonts w:eastAsia="Calibri" w:cs="Arial"/>
                <w:sz w:val="22"/>
                <w:szCs w:val="22"/>
              </w:rPr>
              <w:t>(1) Wahlen erfolgen geheim. Sie können offen erfolgen, wenn alle Wahlberechtigten damit einverstanden sind.</w:t>
            </w:r>
          </w:p>
          <w:p w:rsidR="004E19A8" w:rsidRPr="00DC75D6" w:rsidRDefault="004E19A8" w:rsidP="00A01C77">
            <w:pPr>
              <w:ind w:left="142" w:hanging="142"/>
              <w:jc w:val="both"/>
              <w:rPr>
                <w:rFonts w:eastAsia="Calibri" w:cs="Arial"/>
                <w:sz w:val="22"/>
                <w:szCs w:val="22"/>
              </w:rPr>
            </w:pPr>
            <w:r>
              <w:rPr>
                <w:rFonts w:eastAsia="Calibri" w:cs="Arial"/>
                <w:sz w:val="22"/>
                <w:szCs w:val="22"/>
              </w:rPr>
              <w:t>(2</w:t>
            </w:r>
            <w:r w:rsidRPr="00DC75D6">
              <w:rPr>
                <w:rFonts w:eastAsia="Calibri" w:cs="Arial"/>
                <w:sz w:val="22"/>
                <w:szCs w:val="22"/>
              </w:rPr>
              <w:t>) Von allen Kandidatinnen und Kandidaten muss das Einverständnis zur Kandidatur vorliegen.</w:t>
            </w:r>
          </w:p>
          <w:p w:rsidR="004E19A8" w:rsidRPr="00DC75D6" w:rsidRDefault="004E19A8" w:rsidP="00A01C77">
            <w:pPr>
              <w:ind w:left="142" w:hanging="142"/>
              <w:jc w:val="both"/>
              <w:rPr>
                <w:rFonts w:eastAsia="Calibri" w:cs="Arial"/>
                <w:sz w:val="22"/>
                <w:szCs w:val="22"/>
              </w:rPr>
            </w:pPr>
            <w:r>
              <w:rPr>
                <w:rFonts w:eastAsia="Calibri" w:cs="Arial"/>
                <w:sz w:val="22"/>
                <w:szCs w:val="22"/>
              </w:rPr>
              <w:t>(3</w:t>
            </w:r>
            <w:r w:rsidRPr="00DC75D6">
              <w:rPr>
                <w:rFonts w:eastAsia="Calibri" w:cs="Arial"/>
                <w:sz w:val="22"/>
                <w:szCs w:val="22"/>
              </w:rPr>
              <w:t>) Alle Wahlberechtigten haben jeweils so viele Stimmen, wie es bei der Wahl Posten zu besetzen gibt. Dabei haben alle Delegierten das gleiche Stimmrecht.</w:t>
            </w:r>
          </w:p>
          <w:p w:rsidR="004E19A8" w:rsidRPr="00DC75D6" w:rsidRDefault="004E19A8" w:rsidP="00A01C77">
            <w:pPr>
              <w:ind w:left="142" w:hanging="142"/>
              <w:jc w:val="both"/>
              <w:rPr>
                <w:rFonts w:eastAsia="Calibri" w:cs="Arial"/>
                <w:sz w:val="22"/>
                <w:szCs w:val="22"/>
              </w:rPr>
            </w:pPr>
            <w:r>
              <w:rPr>
                <w:rFonts w:eastAsia="Calibri" w:cs="Arial"/>
                <w:sz w:val="22"/>
                <w:szCs w:val="22"/>
              </w:rPr>
              <w:t>(4</w:t>
            </w:r>
            <w:r w:rsidRPr="00DC75D6">
              <w:rPr>
                <w:rFonts w:eastAsia="Calibri" w:cs="Arial"/>
                <w:sz w:val="22"/>
                <w:szCs w:val="22"/>
              </w:rPr>
              <w:t>) Ist eine Quote zu erfüllen, so werden solange diejenigen Gewählten gestrichen, die der Quote entgegenstehend die wenigsten Stimmen haben.</w:t>
            </w:r>
          </w:p>
          <w:p w:rsidR="004E19A8" w:rsidRPr="00DC75D6" w:rsidRDefault="004E19A8" w:rsidP="00A01C77">
            <w:pPr>
              <w:ind w:left="142" w:hanging="142"/>
              <w:jc w:val="both"/>
              <w:rPr>
                <w:rFonts w:eastAsia="Calibri" w:cs="Arial"/>
                <w:sz w:val="22"/>
                <w:szCs w:val="22"/>
              </w:rPr>
            </w:pPr>
            <w:r>
              <w:rPr>
                <w:rFonts w:eastAsia="Calibri" w:cs="Arial"/>
                <w:sz w:val="22"/>
                <w:szCs w:val="22"/>
              </w:rPr>
              <w:t>(5</w:t>
            </w:r>
            <w:r w:rsidRPr="00DC75D6">
              <w:rPr>
                <w:rFonts w:eastAsia="Calibri" w:cs="Arial"/>
                <w:sz w:val="22"/>
                <w:szCs w:val="22"/>
              </w:rPr>
              <w:t>) Wiederwahl ist zulässig.</w:t>
            </w:r>
          </w:p>
          <w:p w:rsidR="004E19A8" w:rsidRPr="00DC75D6" w:rsidRDefault="004E19A8" w:rsidP="00A01C77">
            <w:pPr>
              <w:ind w:left="142" w:hanging="142"/>
              <w:jc w:val="both"/>
              <w:rPr>
                <w:rFonts w:eastAsia="Calibri" w:cs="Arial"/>
                <w:sz w:val="22"/>
                <w:szCs w:val="22"/>
              </w:rPr>
            </w:pPr>
            <w:r>
              <w:rPr>
                <w:rFonts w:eastAsia="Calibri" w:cs="Arial"/>
                <w:sz w:val="22"/>
                <w:szCs w:val="22"/>
              </w:rPr>
              <w:t>(6</w:t>
            </w:r>
            <w:r w:rsidRPr="00DC75D6">
              <w:rPr>
                <w:rFonts w:eastAsia="Calibri" w:cs="Arial"/>
                <w:sz w:val="22"/>
                <w:szCs w:val="22"/>
              </w:rPr>
              <w:t>) Kandidatinnen und Kandidaten haben sich dem LSP vorzustellen. Ihre Wählbarkeit muss durch die Wahlkommission festgestellt werden.</w:t>
            </w:r>
            <w:r w:rsidRPr="00DC75D6">
              <w:rPr>
                <w:rFonts w:eastAsia="Calibri" w:cs="Arial"/>
                <w:sz w:val="22"/>
                <w:szCs w:val="22"/>
              </w:rPr>
              <w:br/>
            </w:r>
          </w:p>
          <w:p w:rsidR="004E19A8" w:rsidRPr="00DC75D6" w:rsidRDefault="004E19A8" w:rsidP="00A01C77">
            <w:pPr>
              <w:ind w:left="142" w:hanging="142"/>
              <w:jc w:val="both"/>
              <w:rPr>
                <w:rFonts w:eastAsia="Calibri" w:cs="Arial"/>
                <w:b/>
                <w:bCs/>
                <w:sz w:val="22"/>
                <w:szCs w:val="22"/>
              </w:rPr>
            </w:pPr>
            <w:r w:rsidRPr="00DC75D6">
              <w:rPr>
                <w:rFonts w:eastAsia="Calibri" w:cs="Arial"/>
                <w:b/>
                <w:bCs/>
                <w:sz w:val="22"/>
                <w:szCs w:val="22"/>
              </w:rPr>
              <w:t>§3 Wahl des / der LSSpr.</w:t>
            </w:r>
          </w:p>
          <w:p w:rsidR="004E19A8" w:rsidRPr="00DC75D6" w:rsidRDefault="004E19A8" w:rsidP="00A01C77">
            <w:pPr>
              <w:ind w:left="142" w:hanging="142"/>
              <w:jc w:val="both"/>
              <w:rPr>
                <w:rFonts w:cs="Arial"/>
              </w:rPr>
            </w:pPr>
            <w:r w:rsidRPr="00DC75D6">
              <w:rPr>
                <w:rFonts w:eastAsia="Calibri" w:cs="Arial"/>
                <w:sz w:val="22"/>
                <w:szCs w:val="22"/>
              </w:rPr>
              <w:t>(1) Zum / zur LSS ist gewählt, wer die absolute Mehrheit der abgegebenen Stimmen auf sich vereinigt.</w:t>
            </w:r>
          </w:p>
        </w:tc>
        <w:tc>
          <w:tcPr>
            <w:tcW w:w="4816" w:type="dxa"/>
            <w:tcBorders>
              <w:top w:val="single" w:sz="4" w:space="0" w:color="000000"/>
              <w:left w:val="single" w:sz="4" w:space="0" w:color="000000"/>
              <w:bottom w:val="single" w:sz="4" w:space="0" w:color="000000"/>
              <w:right w:val="single" w:sz="4" w:space="0" w:color="000000"/>
            </w:tcBorders>
            <w:shd w:val="clear" w:color="auto" w:fill="auto"/>
            <w:tcMar>
              <w:top w:w="80" w:type="dxa"/>
              <w:left w:w="220" w:type="dxa"/>
              <w:bottom w:w="80" w:type="dxa"/>
              <w:right w:w="80" w:type="dxa"/>
            </w:tcMar>
          </w:tcPr>
          <w:p w:rsidR="004E19A8" w:rsidRPr="00DC75D6" w:rsidRDefault="004E19A8" w:rsidP="00A01C77">
            <w:pPr>
              <w:ind w:left="140" w:hanging="72"/>
              <w:jc w:val="both"/>
              <w:rPr>
                <w:rFonts w:eastAsia="Calibri" w:cs="Arial"/>
                <w:sz w:val="22"/>
                <w:szCs w:val="22"/>
              </w:rPr>
            </w:pPr>
            <w:r w:rsidRPr="00DC75D6">
              <w:rPr>
                <w:rFonts w:eastAsia="Calibri" w:cs="Arial"/>
                <w:sz w:val="22"/>
                <w:szCs w:val="22"/>
              </w:rPr>
              <w:t>(2) Sollte dies auf keine bzw. keinen der Kandidatinnen und Kandidaten zutreffen, so ist in einem zweiten Wahlgang zwischen den beiden Kandidaten mit der höchsten Stimmenzahl die- oder derjenige gewählt, die oder der die einfache Mehrheit der abgegebenen Stimmen auf sich vereinigt</w:t>
            </w:r>
            <w:r w:rsidRPr="00DC75D6">
              <w:rPr>
                <w:rFonts w:eastAsia="Calibri" w:cs="Arial"/>
                <w:b/>
                <w:bCs/>
                <w:sz w:val="22"/>
                <w:szCs w:val="22"/>
              </w:rPr>
              <w:t>.</w:t>
            </w:r>
          </w:p>
          <w:p w:rsidR="004E19A8" w:rsidRPr="00DC75D6" w:rsidRDefault="004E19A8" w:rsidP="00A01C77">
            <w:pPr>
              <w:ind w:left="140" w:hanging="72"/>
              <w:jc w:val="both"/>
              <w:rPr>
                <w:rFonts w:eastAsia="Calibri" w:cs="Arial"/>
                <w:b/>
                <w:bCs/>
                <w:sz w:val="22"/>
                <w:szCs w:val="22"/>
              </w:rPr>
            </w:pPr>
          </w:p>
          <w:p w:rsidR="004E19A8" w:rsidRPr="00DC75D6" w:rsidRDefault="004E19A8" w:rsidP="00A01C77">
            <w:pPr>
              <w:ind w:left="140" w:hanging="72"/>
              <w:jc w:val="both"/>
              <w:rPr>
                <w:rFonts w:eastAsia="Calibri" w:cs="Arial"/>
                <w:b/>
                <w:bCs/>
                <w:sz w:val="22"/>
                <w:szCs w:val="22"/>
              </w:rPr>
            </w:pPr>
            <w:r w:rsidRPr="00DC75D6">
              <w:rPr>
                <w:rFonts w:eastAsia="Calibri" w:cs="Arial"/>
                <w:b/>
                <w:bCs/>
                <w:sz w:val="22"/>
                <w:szCs w:val="22"/>
              </w:rPr>
              <w:t>§4 Wahl der stellvertretenden LSSpr.</w:t>
            </w:r>
          </w:p>
          <w:p w:rsidR="004E19A8" w:rsidRPr="00DC75D6" w:rsidRDefault="004E19A8" w:rsidP="00A01C77">
            <w:pPr>
              <w:ind w:left="140" w:hanging="72"/>
              <w:jc w:val="both"/>
              <w:rPr>
                <w:rFonts w:eastAsia="Calibri" w:cs="Arial"/>
                <w:sz w:val="22"/>
                <w:szCs w:val="22"/>
              </w:rPr>
            </w:pPr>
            <w:r w:rsidRPr="00DC75D6">
              <w:rPr>
                <w:rFonts w:eastAsia="Calibri" w:cs="Arial"/>
                <w:sz w:val="22"/>
                <w:szCs w:val="22"/>
              </w:rPr>
              <w:t>(1) Von den Kandidatinnen und Kandidaten zur bzw. zum stellv. LSS sind die neun Kandidaten mit der höchsten Anzahl der Stimmen gewählt, sofern sie jeweils ein Viertel der abgegebenen Stimmen auf sich vereinigen konnten.</w:t>
            </w:r>
          </w:p>
          <w:p w:rsidR="004E19A8" w:rsidRPr="00DC75D6" w:rsidRDefault="004E19A8" w:rsidP="00A01C77">
            <w:pPr>
              <w:ind w:left="140" w:hanging="72"/>
              <w:jc w:val="both"/>
              <w:rPr>
                <w:rFonts w:eastAsia="Calibri" w:cs="Arial"/>
                <w:sz w:val="22"/>
                <w:szCs w:val="22"/>
              </w:rPr>
            </w:pPr>
            <w:r w:rsidRPr="00DC75D6">
              <w:rPr>
                <w:rFonts w:eastAsia="Calibri" w:cs="Arial"/>
                <w:sz w:val="22"/>
                <w:szCs w:val="22"/>
              </w:rPr>
              <w:t>(2) Werden gemäß (1) weniger Kandidatinnen und/oder Kandidaten gewählt, als Posten zu besetzen sind, bleiben die nicht besetzten Posten unbesetzt.</w:t>
            </w:r>
            <w:r w:rsidRPr="00DC75D6">
              <w:rPr>
                <w:rFonts w:eastAsia="Calibri" w:cs="Arial"/>
                <w:sz w:val="22"/>
                <w:szCs w:val="22"/>
              </w:rPr>
              <w:br/>
            </w:r>
          </w:p>
          <w:p w:rsidR="004E19A8" w:rsidRPr="00DC75D6" w:rsidRDefault="004E19A8" w:rsidP="00A01C77">
            <w:pPr>
              <w:ind w:left="140" w:hanging="72"/>
              <w:jc w:val="both"/>
              <w:rPr>
                <w:rFonts w:eastAsia="Calibri" w:cs="Arial"/>
                <w:b/>
                <w:bCs/>
                <w:sz w:val="22"/>
                <w:szCs w:val="22"/>
              </w:rPr>
            </w:pPr>
            <w:r w:rsidRPr="00DC75D6">
              <w:rPr>
                <w:rFonts w:eastAsia="Calibri" w:cs="Arial"/>
                <w:b/>
                <w:bCs/>
                <w:sz w:val="22"/>
                <w:szCs w:val="22"/>
              </w:rPr>
              <w:t>§5 Wahl weiterer Ämter</w:t>
            </w:r>
          </w:p>
          <w:p w:rsidR="004E19A8" w:rsidRPr="00DC75D6" w:rsidRDefault="004E19A8" w:rsidP="00A01C77">
            <w:pPr>
              <w:ind w:left="140" w:hanging="72"/>
              <w:jc w:val="both"/>
              <w:rPr>
                <w:rFonts w:eastAsia="Calibri" w:cs="Arial"/>
                <w:sz w:val="22"/>
                <w:szCs w:val="22"/>
              </w:rPr>
            </w:pPr>
            <w:r w:rsidRPr="00DC75D6">
              <w:rPr>
                <w:rFonts w:eastAsia="Calibri" w:cs="Arial"/>
                <w:sz w:val="22"/>
                <w:szCs w:val="22"/>
              </w:rPr>
              <w:t>(1) Für die Besetzung von nicht in §3 &amp; §4 bestimmten Ämtern genügt die einfache Mehrheit der abgegebenen Stimmen, bei mehreren zu besetzenden Posten sind die Kandidatinnen und/oder Kandidaten mit den meisten abgegebenen Stimmen gewählt.</w:t>
            </w:r>
            <w:r w:rsidRPr="00DC75D6">
              <w:rPr>
                <w:rFonts w:eastAsia="Calibri" w:cs="Arial"/>
                <w:sz w:val="22"/>
                <w:szCs w:val="22"/>
              </w:rPr>
              <w:br/>
            </w:r>
          </w:p>
          <w:p w:rsidR="004E19A8" w:rsidRPr="00DC75D6" w:rsidRDefault="004E19A8" w:rsidP="00A01C77">
            <w:pPr>
              <w:ind w:left="140" w:hanging="72"/>
              <w:jc w:val="both"/>
              <w:rPr>
                <w:rFonts w:eastAsia="Calibri" w:cs="Arial"/>
                <w:b/>
                <w:bCs/>
                <w:sz w:val="22"/>
                <w:szCs w:val="22"/>
              </w:rPr>
            </w:pPr>
            <w:r>
              <w:rPr>
                <w:rFonts w:eastAsia="Calibri" w:cs="Arial"/>
                <w:b/>
                <w:bCs/>
                <w:sz w:val="22"/>
                <w:szCs w:val="22"/>
              </w:rPr>
              <w:t>§6</w:t>
            </w:r>
            <w:r w:rsidRPr="00DC75D6">
              <w:rPr>
                <w:rFonts w:eastAsia="Calibri" w:cs="Arial"/>
                <w:b/>
                <w:bCs/>
                <w:sz w:val="22"/>
                <w:szCs w:val="22"/>
              </w:rPr>
              <w:t xml:space="preserve"> Schlussbestimmungen</w:t>
            </w:r>
          </w:p>
          <w:p w:rsidR="004E19A8" w:rsidRPr="00DC75D6" w:rsidRDefault="004E19A8" w:rsidP="00A01C77">
            <w:pPr>
              <w:ind w:left="140" w:hanging="72"/>
              <w:jc w:val="both"/>
              <w:rPr>
                <w:rFonts w:eastAsia="Calibri" w:cs="Arial"/>
                <w:sz w:val="22"/>
                <w:szCs w:val="22"/>
              </w:rPr>
            </w:pPr>
            <w:r w:rsidRPr="00DC75D6">
              <w:rPr>
                <w:rFonts w:eastAsia="Calibri" w:cs="Arial"/>
                <w:sz w:val="22"/>
                <w:szCs w:val="22"/>
              </w:rPr>
              <w:t>(1) Diese Wahlordnung tritt mit der Verabschiedung durch das LSP in Kraft.</w:t>
            </w:r>
          </w:p>
          <w:p w:rsidR="004E19A8" w:rsidRPr="00DC75D6" w:rsidRDefault="004E19A8" w:rsidP="00A01C77">
            <w:pPr>
              <w:ind w:left="140" w:hanging="72"/>
              <w:jc w:val="both"/>
              <w:rPr>
                <w:rFonts w:eastAsia="Calibri" w:cs="Arial"/>
                <w:sz w:val="22"/>
                <w:szCs w:val="22"/>
              </w:rPr>
            </w:pPr>
            <w:r w:rsidRPr="00DC75D6">
              <w:rPr>
                <w:rFonts w:eastAsia="Calibri" w:cs="Arial"/>
                <w:sz w:val="22"/>
                <w:szCs w:val="22"/>
              </w:rPr>
              <w:t>(2) Änderungen dieser Wahlordnung bedürfen einer 2/3-Mehrheit des LSP und sind nur bei ordnungsgemäßer Antragstellung möglich.</w:t>
            </w:r>
          </w:p>
          <w:p w:rsidR="004E19A8" w:rsidRPr="00DC75D6" w:rsidRDefault="004E19A8" w:rsidP="004E19A8">
            <w:pPr>
              <w:widowControl w:val="0"/>
              <w:numPr>
                <w:ilvl w:val="0"/>
                <w:numId w:val="1"/>
              </w:numPr>
              <w:suppressAutoHyphens/>
              <w:jc w:val="both"/>
              <w:rPr>
                <w:rFonts w:eastAsia="Calibri" w:cs="Arial"/>
                <w:sz w:val="22"/>
                <w:szCs w:val="22"/>
              </w:rPr>
            </w:pPr>
            <w:r w:rsidRPr="00DC75D6">
              <w:rPr>
                <w:rFonts w:eastAsia="Calibri" w:cs="Arial"/>
                <w:sz w:val="22"/>
                <w:szCs w:val="22"/>
              </w:rPr>
              <w:t>Können Wahlen nicht entsprechend dieser Wahlordnung durchgeführt werden, so muss innerhalb von sechs Schulwochen zu einer erneuten Sitzung des LSP eingeladen werden. Die zu vergebenden Ämter oder Mandate werden bis zu dieser Sitzung kommissarisch besetzt.</w:t>
            </w:r>
          </w:p>
          <w:p w:rsidR="004E19A8" w:rsidRPr="00DC75D6" w:rsidRDefault="004E19A8" w:rsidP="00A01C77">
            <w:pPr>
              <w:jc w:val="both"/>
              <w:rPr>
                <w:rFonts w:cs="Arial"/>
              </w:rPr>
            </w:pPr>
            <w:r w:rsidRPr="00DC75D6">
              <w:rPr>
                <w:rFonts w:eastAsia="Calibri" w:cs="Arial"/>
                <w:sz w:val="22"/>
                <w:szCs w:val="22"/>
              </w:rPr>
              <w:t>(4) Geschäftsordnung und Satzung der LSV sind auf Wahlvorgängen entsprechend anzuwenden.</w:t>
            </w:r>
          </w:p>
        </w:tc>
      </w:tr>
    </w:tbl>
    <w:p w:rsidR="00A53591" w:rsidRPr="004E19A8" w:rsidRDefault="00A53591" w:rsidP="004E19A8"/>
    <w:sectPr w:rsidR="00A53591" w:rsidRPr="004E19A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CB" w:rsidRDefault="004159CB" w:rsidP="007F4E12">
      <w:pPr>
        <w:spacing w:after="0" w:line="240" w:lineRule="auto"/>
      </w:pPr>
      <w:r>
        <w:separator/>
      </w:r>
    </w:p>
  </w:endnote>
  <w:endnote w:type="continuationSeparator" w:id="0">
    <w:p w:rsidR="004159CB" w:rsidRDefault="004159CB" w:rsidP="007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CB" w:rsidRDefault="004159CB" w:rsidP="007F4E12">
      <w:pPr>
        <w:spacing w:after="0" w:line="240" w:lineRule="auto"/>
      </w:pPr>
      <w:r>
        <w:separator/>
      </w:r>
    </w:p>
  </w:footnote>
  <w:footnote w:type="continuationSeparator" w:id="0">
    <w:p w:rsidR="004159CB" w:rsidRDefault="004159CB" w:rsidP="007F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E12" w:rsidRDefault="007F4E12" w:rsidP="007F4E12">
    <w:pPr>
      <w:pStyle w:val="Kopfzeile"/>
      <w:jc w:val="right"/>
      <w:rPr>
        <w:rFonts w:ascii="Verdana" w:hAnsi="Verdana"/>
        <w:color w:val="4C4C4C"/>
        <w:sz w:val="30"/>
        <w:szCs w:val="30"/>
      </w:rPr>
    </w:pPr>
    <w:r>
      <w:rPr>
        <w:rFonts w:ascii="Verdana" w:hAnsi="Verdana"/>
        <w:noProof/>
        <w:color w:val="4C4C4C"/>
        <w:sz w:val="30"/>
        <w:szCs w:val="30"/>
        <w:lang w:eastAsia="de-DE"/>
      </w:rPr>
      <w:drawing>
        <wp:anchor distT="0" distB="0" distL="114300" distR="114300" simplePos="0" relativeHeight="251659264" behindDoc="0" locked="0" layoutInCell="1" allowOverlap="1" wp14:anchorId="4CA853B0" wp14:editId="709F760E">
          <wp:simplePos x="0" y="0"/>
          <wp:positionH relativeFrom="margin">
            <wp:posOffset>-424180</wp:posOffset>
          </wp:positionH>
          <wp:positionV relativeFrom="margin">
            <wp:posOffset>-976630</wp:posOffset>
          </wp:positionV>
          <wp:extent cx="1704975" cy="874395"/>
          <wp:effectExtent l="0" t="0" r="0" b="190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V_SH_GY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439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4C4C4C"/>
        <w:sz w:val="30"/>
        <w:szCs w:val="30"/>
      </w:rPr>
      <w:t>Landesschülervertretung</w:t>
    </w:r>
  </w:p>
  <w:p w:rsidR="007F4E12" w:rsidRDefault="007F4E12" w:rsidP="007F4E12">
    <w:pPr>
      <w:pStyle w:val="Kopfzeile"/>
      <w:jc w:val="right"/>
      <w:rPr>
        <w:rFonts w:ascii="Verdana" w:hAnsi="Verdana"/>
        <w:color w:val="4C4C4C"/>
        <w:sz w:val="30"/>
        <w:szCs w:val="30"/>
      </w:rPr>
    </w:pPr>
    <w:r>
      <w:rPr>
        <w:rFonts w:ascii="Verdana" w:hAnsi="Verdana"/>
        <w:color w:val="4C4C4C"/>
        <w:sz w:val="30"/>
        <w:szCs w:val="30"/>
      </w:rPr>
      <w:t>der Gymnasien</w:t>
    </w:r>
  </w:p>
  <w:p w:rsidR="007F4E12" w:rsidRPr="00807A37" w:rsidRDefault="007F4E12" w:rsidP="007F4E12">
    <w:pPr>
      <w:pStyle w:val="Kopfzeile"/>
      <w:jc w:val="right"/>
      <w:rPr>
        <w:rFonts w:ascii="Verdana" w:hAnsi="Verdana"/>
        <w:color w:val="4C4C4C"/>
        <w:sz w:val="30"/>
        <w:szCs w:val="30"/>
      </w:rPr>
    </w:pPr>
    <w:r>
      <w:rPr>
        <w:rFonts w:ascii="Verdana" w:hAnsi="Verdana"/>
        <w:color w:val="4C4C4C"/>
        <w:sz w:val="30"/>
        <w:szCs w:val="30"/>
      </w:rPr>
      <w:t>in Schleswig-Holstein</w:t>
    </w:r>
  </w:p>
  <w:p w:rsidR="007F4E12" w:rsidRDefault="007F4E1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45C2B"/>
    <w:multiLevelType w:val="hybridMultilevel"/>
    <w:tmpl w:val="43F8DFC0"/>
    <w:lvl w:ilvl="0" w:tplc="6E04E9A4">
      <w:start w:val="1"/>
      <w:numFmt w:val="decimal"/>
      <w:lvlText w:val="(%1)"/>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1" w:tplc="CDB4E9EA">
      <w:start w:val="1"/>
      <w:numFmt w:val="decimal"/>
      <w:lvlText w:val="%2."/>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2" w:tplc="4ADC361E">
      <w:start w:val="1"/>
      <w:numFmt w:val="decimal"/>
      <w:lvlText w:val="%3."/>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3" w:tplc="A07411CA">
      <w:start w:val="1"/>
      <w:numFmt w:val="decimal"/>
      <w:lvlText w:val="%4."/>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4" w:tplc="F1CE1D12">
      <w:start w:val="1"/>
      <w:numFmt w:val="decimal"/>
      <w:lvlText w:val="%5."/>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5" w:tplc="BE7E7BA0">
      <w:start w:val="1"/>
      <w:numFmt w:val="decimal"/>
      <w:lvlText w:val="%6."/>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6" w:tplc="3686154C">
      <w:start w:val="1"/>
      <w:numFmt w:val="decimal"/>
      <w:lvlText w:val="%7."/>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7" w:tplc="54C6AD64">
      <w:start w:val="1"/>
      <w:numFmt w:val="decimal"/>
      <w:lvlText w:val="%8."/>
      <w:lvlJc w:val="left"/>
      <w:pPr>
        <w:ind w:left="641" w:hanging="573"/>
      </w:pPr>
      <w:rPr>
        <w:rFonts w:hAnsi="Arial Unicode MS"/>
        <w:caps w:val="0"/>
        <w:smallCaps w:val="0"/>
        <w:strike w:val="0"/>
        <w:dstrike w:val="0"/>
        <w:color w:val="000000"/>
        <w:spacing w:val="0"/>
        <w:w w:val="100"/>
        <w:kern w:val="0"/>
        <w:position w:val="0"/>
        <w:highlight w:val="none"/>
        <w:vertAlign w:val="baseline"/>
      </w:rPr>
    </w:lvl>
    <w:lvl w:ilvl="8" w:tplc="4BA8B948">
      <w:start w:val="1"/>
      <w:numFmt w:val="decimal"/>
      <w:lvlText w:val="%9."/>
      <w:lvlJc w:val="left"/>
      <w:pPr>
        <w:ind w:left="641" w:hanging="573"/>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12"/>
    <w:rsid w:val="00004D92"/>
    <w:rsid w:val="00367304"/>
    <w:rsid w:val="004159CB"/>
    <w:rsid w:val="004E19A8"/>
    <w:rsid w:val="007F4E12"/>
    <w:rsid w:val="00A53591"/>
    <w:rsid w:val="00EC2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61C"/>
  <w15:docId w15:val="{93F91E38-E66D-4BAE-A3F2-D198B790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7304"/>
    <w:rPr>
      <w:rFonts w:ascii="Arial" w:hAnsi="Arial"/>
      <w:sz w:val="24"/>
    </w:rPr>
  </w:style>
  <w:style w:type="paragraph" w:styleId="berschrift1">
    <w:name w:val="heading 1"/>
    <w:basedOn w:val="Standard"/>
    <w:next w:val="Standard"/>
    <w:link w:val="berschrift1Zchn"/>
    <w:uiPriority w:val="9"/>
    <w:qFormat/>
    <w:rsid w:val="00EC2E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4E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4E12"/>
    <w:rPr>
      <w:rFonts w:ascii="Arial" w:hAnsi="Arial"/>
      <w:sz w:val="24"/>
    </w:rPr>
  </w:style>
  <w:style w:type="paragraph" w:styleId="Fuzeile">
    <w:name w:val="footer"/>
    <w:basedOn w:val="Standard"/>
    <w:link w:val="FuzeileZchn"/>
    <w:uiPriority w:val="99"/>
    <w:unhideWhenUsed/>
    <w:rsid w:val="007F4E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4E12"/>
    <w:rPr>
      <w:rFonts w:ascii="Arial" w:hAnsi="Arial"/>
      <w:sz w:val="24"/>
    </w:rPr>
  </w:style>
  <w:style w:type="table" w:customStyle="1" w:styleId="TableNormal">
    <w:name w:val="Table Normal"/>
    <w:rsid w:val="00EC2E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Formatvorlage1">
    <w:name w:val="Formatvorlage 1"/>
    <w:basedOn w:val="berschrift1"/>
    <w:link w:val="Formatvorlage1Zchn"/>
    <w:qFormat/>
    <w:rsid w:val="00EC2E00"/>
    <w:pPr>
      <w:keepLines w:val="0"/>
      <w:widowControl w:val="0"/>
      <w:pBdr>
        <w:top w:val="nil"/>
        <w:left w:val="nil"/>
        <w:bottom w:val="nil"/>
        <w:right w:val="nil"/>
        <w:between w:val="nil"/>
        <w:bar w:val="nil"/>
      </w:pBdr>
      <w:suppressAutoHyphens/>
      <w:spacing w:after="120" w:line="240" w:lineRule="auto"/>
      <w:jc w:val="center"/>
    </w:pPr>
    <w:rPr>
      <w:rFonts w:eastAsia="Arial Unicode MS" w:cs="Arial Unicode MS"/>
      <w:b/>
      <w:bCs/>
      <w:color w:val="000000"/>
      <w:kern w:val="3"/>
      <w:szCs w:val="28"/>
      <w:u w:val="single" w:color="000000"/>
      <w:bdr w:val="nil"/>
      <w:lang w:eastAsia="de-DE"/>
    </w:rPr>
  </w:style>
  <w:style w:type="character" w:customStyle="1" w:styleId="Formatvorlage1Zchn">
    <w:name w:val="Formatvorlage 1 Zchn"/>
    <w:basedOn w:val="berschrift1Zchn"/>
    <w:link w:val="Formatvorlage1"/>
    <w:rsid w:val="00EC2E00"/>
    <w:rPr>
      <w:rFonts w:asciiTheme="majorHAnsi" w:eastAsia="Arial Unicode MS" w:hAnsiTheme="majorHAnsi" w:cs="Arial Unicode MS"/>
      <w:b/>
      <w:bCs/>
      <w:color w:val="000000"/>
      <w:kern w:val="3"/>
      <w:sz w:val="32"/>
      <w:szCs w:val="28"/>
      <w:u w:val="single" w:color="000000"/>
      <w:bdr w:val="nil"/>
      <w:lang w:eastAsia="de-DE"/>
    </w:rPr>
  </w:style>
  <w:style w:type="character" w:customStyle="1" w:styleId="berschrift1Zchn">
    <w:name w:val="Überschrift 1 Zchn"/>
    <w:basedOn w:val="Absatz-Standardschriftart"/>
    <w:link w:val="berschrift1"/>
    <w:uiPriority w:val="9"/>
    <w:rsid w:val="00EC2E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cp:lastModifiedBy>
  <cp:revision>3</cp:revision>
  <dcterms:created xsi:type="dcterms:W3CDTF">2016-11-22T16:01:00Z</dcterms:created>
  <dcterms:modified xsi:type="dcterms:W3CDTF">2017-12-27T20:35:00Z</dcterms:modified>
</cp:coreProperties>
</file>